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Itamatra Nusantara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Tambang Mineral</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Dusun V Lambolo Desa Ganda - Ganda Kecamatan Petasia  </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130B3D" w:rsidRDefault="00A949AA" w:rsidP="006523D4">
            <w:pPr>
              <w:jc w:val="both"/>
              <w:rPr>
                <w:rFonts w:ascii="Arial Narrow" w:hAnsi="Arial Narrow"/>
                <w:b/>
                <w:bCs/>
                <w:color w:val="FF0000"/>
              </w:rPr>
            </w:pPr>
            <w:r w:rsidRPr="00EC020B">
              <w:rPr>
                <w:rFonts w:ascii="Arial Narrow" w:hAnsi="Arial Narrow"/>
                <w:b/>
                <w:bCs/>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MERAH</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TIDAK 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Belum memiliki personil yang bertanggung jawab dan kompeten dalam pengendalian pencemaran air.
</w:t>
                    <w:br/>
                    <w:t>1. Sertifikat PPPA, nomor: LIH.1491.00551.2020., yang diterbitkan oleh: BNSP  berlaku sampai dengan 31-08-2023 atas nama Jalu Urip Sudaryanto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Penanaman Modal dan Pelayanan Terpadu Satu Pintu:
</w:t>
                    <w:br/>
                    <w:t>1. nomor: 503/002/ILC-DPM-PTSPD/V/2019 pada tanggal 14 Mei 2019 berlaku sampai dengan tanggal 14 Juli 2024
</w:t>
                    <w:br/>
                    <w:t>  - Salinan surat permohonan izin dan atau 
</w:t>
                    <w:br/>
                    <w:t>  - Surat atau dokumen yang menyatakan persyaratan teknis permohonan izin sudah lengkap yang dibuktikan dengan :
</w:t>
                    <w:br/>
                    <w:t>a. salinan berita acara hasil pembahasan teknis permohonan izin dan atau salinan surat tindak lanjut berita acara pembahasan izin. 
</w:t>
                    <w:br/>
                    <w:t>b. salinan berita acara hasil verifikasi lapangan permohonan izin dan salinan surat tindak lanjut berita acara verifikasi lapangan bila dipersyaratkan.
</w:t>
                    <w:br/>
                    <w:t>Memiliki Izin/Persetujuan Teknis Pembuangan Air Limbah yang diterbitkan oleh Dinas Penanaman Modal dan Pelayanan Terpadu Satu Pintu Daerah Kabupaten Morowali Utara:
</w:t>
                    <w:br/>
                    <w:t>1. Nomor: 503/004/LB3-DPM-PTSPD/XII/2020, pada  tanggal 11 Desember 2020 berlaku sampai dengan tanggal 11 Desember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TP 01 PT.IMN dan belum dipantau.
</w:t>
                    <w:br/>
                    <w:t>2. IPLCD 01 IMN dan belum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Tidak ada data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Belum melakukan pemantauan terhadap titik penaatan yang wajib SPARING dengan alat pemantauan secara otomatis, terus-menerus dan dalam jaringan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Belum memantau parameter yang diwajibkan yaitu: 
</w:t>
                    <w:br/>
                    <w:t>1. TP 01 PT.IMN: pH, TSS, Pb (Timbal), Debit Air Limbah/Bulan, Cd (Cadmium), Cr (Khromium), Cu (Tembaga), Fe, Kobalt (Co), Ni (Nikel), Zn (Seng), Cr6+, Produksi Bulanan
</w:t>
                    <w:br/>
                    <w:t>2. IPLCD 01 IMN: Coliform, pH, BOD, COD, TSS, Minyak dan Lemak, Debit Air Limbah/Bulan, Amoniak, Produksi Bulanan, Debit Air Limbah</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IPLCD 01 IMN
</w:t>
                    <w:br/>
                    <w:t>Belum melakukan pemantauan Parameter wajib pantau harian: Debit air limbah, 
</w:t>
                    <w:br/>
                    <w:t>
</w:t>
                    <w:br/>
                    <w:t>2. Titik Penaatan TP 01 PT.IMN
</w:t>
                    <w:br/>
                    <w:t>Belum melakukan pemantauan Parameter wajib pantau harian: pH, TSS, Debit Air Limbah,</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Belum melakukan pemantauan terhadap titik penaatan yang wajib SPARING dengan alat pemantauan secara otomatis, terus-menerus dan dalam jaringan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Belum melaporkan data swapantau air limbah bulan Juli 2022 -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 Titik Penaatan IPLCD 01 IMN
</w:t>
                    <w:br/>
                    <w:t>1. Titik Penaatan TP 01 PT.IMN
</w:t>
                    <w:br/>
                    <w:t>  - belum melaporkan Parameter: Debit Air Limbah dari tanggal 1 bulan Juli 2022 s/d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TP 01 PT.IMN
</w:t>
                    <w:br/>
                    <w:t>  - belum melaporkan Parameter: pH dari tanggal 1 bulan Juli 2022 s/d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0 %</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1. Titik Penaatan TP 01 PT.IMN
</w:t>
                    <w:br/>
                    <w:t>  - belum melaporkan Parameter: TSS dari tanggal 1 bulan Juli 2022 s/d 30 Juni 2023</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Belum melakukan pemantauan terhadap titik penaatan yang wajib SPARING dengan alat pemantauan secara otomatis, terus-menerus dan dalam jaringan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Titik: TP 01 PT.IMN
</w:t>
                    <w:br/>
                    <w:t>  - data parameter: pH, TSS, Pb (Timbal), Debit Air Limbah/Bulan, Cd (Cadmium), Cr (Khromium), Cu (Tembaga), Fe, Kobalt (Co), Ni (Nikel), Zn (Seng), Cr6+, Produksi Bulanan,  melebihi bakumutu
</w:t>
                    <w:br/>
                    <w:t>
</w:t>
                    <w:br/>
                    <w:t>2. Titik: IPLCD 01 IMN
</w:t>
                    <w:br/>
                    <w:t>  - data parameter: Coliform, pH, BOD, COD, TSS, Minyak dan Lemak, Debit Air Limbah/Bulan, Amoniak, Produksi Bulanan, Debit Air Limbah,  melebihi bakumutu</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Belum melaporkan data parameter dari tanggal 2022-07-01 sampai dengan tanggal 2023-06-30</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Belum melaporkan data parameter dari tanggal 2022-07-01 sampai dengan tanggal 2023-06-30</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Belum melaporkan data parameter dari tanggal 2022-07-01 sampai dengan tanggal 2023-06-30</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Belum melaporkan data parameter dari tanggal 2022-07-01 sampai dengan tanggal 2023-06-30</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Tidak diatur dalam IPLC</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Belum melakukan pemantauan terhadap titik penaatan yang wajib SPARING dengan alat pemantauan secara otomatis, terus-menerus dan dalam jaringan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TIDAK 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Belum melampirkan foto papan nama titik penaatan lengkap beserta titik koordinatnya.
</w:t>
                    <w:br/>
                    <w:t>Belum melampirkan foto yang memisahkan saluran pembuangan air limbah dengan saluran air hujan.
</w:t>
                    <w:br/>
                    <w:t>Semua saluran air limbah tidak kedap air/Belum melampirkan foto saluran air limbah yang kedap air.
</w:t>
                    <w:br/>
                    <w:t>Belum memasang atau melampirkan bukti alat ukur debit (flow meter) beserta papan nama titik penaatan.
</w:t>
                    <w:br/>
                    <w:t>Belum menggunakan jasa laboratorium yang sudah terakreditasi KAN dan teregistrasi KLHK dan/atau belum melampirkan bukti pendukung.
</w:t>
                    <w:br/>
                    <w:t>Belum melampirkan denah saluran air limbah, air hujan, air pendingin, dan IPAL.
</w:t>
                    <w:br/>
                    <w:t>Belum melakukan identifikasi seluruh jenis air limbah yang dihasilkan (limbah proses/air pendingin/air limbah drainase/air limbah utilitas/limbah domestik, dan lainnya.
</w:t>
                    <w:br/>
                    <w:t>Belum melakukan identifikasi terhadap sumber air limbah dan cara pengolahannya.
</w:t>
                    <w:br/>
                    <w:t>Belum melampirkan bukti atau dokumen pencatatan bahan baku harian dan produksi harian senyatanya.
</w:t>
                    <w:br/>
                    <w:t>Belum melampirkan neraca air sesuai dengan yang dipersyaratkan.
</w:t>
                    <w:br/>
                    <w:t>Belum melampirkan file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TIDAK TAAT terhadap Kompetensi Personil, Titik Penaatan, Titik Pantau, Parameter, Sparing, Mingguan, Pelaporan, Pemenuhan Baku Mutu, Data Harian, Beban Pencemaran, Ketentuan Teknis,  namun TAAT terhadap Izin/persetujuan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1. Perusahaan WAJIB memiliki personil yang bertanggung jawab dan kompeten dalam pengendalian pencemaran air dari Lembaga Sertifikasi Profesi Berlisensi BNSP dan masih berlaku.
</w:t>
              <w:br/>
              <w:t>3. Perusahaan WAJIB melanjutkan proses administrasi persetujuan teknis pembuangan air limbah ke instansi terkait.
</w:t>
              <w:br/>
              <w:t>5. Perusahaan WAJIB melakukan pengujian air limbah yang dibuang ke badan air setiap satu bulan sekali untuk setiap parameter yang dipersyaratkan sesuai izin pembuangan air limbah serta memeriksakannya kepada laboratorium terakreditasi dan registrasi KLHK.
</w:t>
              <w:br/>
              <w:t>6. Perusahaan WAJIB melakukan pengujian kualitas air ke badan air setiap enam bulan sekali setiap parameter yang dipersyaratkan sesuai persetujuan teknis pembuangan air limbah atau Persetujuan Lingkungan serta memeriksakannya kepada laboratorium terakreditasi dan registrasi KLHK.
</w:t>
              <w:br/>
              <w:t>7. Perusahaan WAJIB melakukan pemantauan air limbah secara otomatis yang dibuang ke badan air sesuai peraturan perundang-undangan lingkungan hidup yang berlaku.
</w:t>
              <w:br/>
              <w:t>8. Perusahaan WAJIB menjaga dan mempertahankan kualitas air limbah yang dibuang ke badan air memenuhi BMAL yang ditetapkan dan memenuhi persyaratan sebagaimana yang diatur sesuai persetujuan teknis pembuangan air limbah.
</w:t>
              <w:br/>
              <w:t>9. Perusahaan WAJIB melakukan pencatatan debit harian air limbah, pH harian, serta produksi senyatanya bulanan.
</w:t>
              <w:br/>
              <w:t>10. Perusahaan WAJIB memenuhi ketentuan teknis.
</w:t>
              <w:br/>
              <w:t>11. Perusahaan WAJIB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Semua cerobong tidak wajib pantau</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Semua cerobong tidak wajib pantau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Semua cerobong tidak wajib pantau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Semua cerobong tidak wajib pantau  
                      <w:br/>
                      Hasil pemantauan emisi memenuhi baku mutu 
                      <w:br/>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
                      Perusahaan telah memenuhi ketentuan teknis sesuai peraturan yang berlaku.
                      <w:br/>
                      <w:br/>
                      PELAPORAN EMISI GRK
                      <w:br/>
                      -Pelaporan Emisi GRK TIDAK TAAT dengan catatan tidak mengisi data emisi GRK, tidak melampirkan bukti perhitungan emisi GRK
                      <w:br/>
                      <w:br/>
                      ASPEK VALIDASI PELAPORAN TIDAK TAAT :Titik Penaatan
                      <w:br/>
                      cerobong C1 TIDAK SESUAI status pemantauan tidak sesuai dengan peraturan, frekuensi pemantauan tidak sesuai dengan peraturan
                      <w:br/>
                      <w:br/>
                      Acuan Baku Mutu
                      <w:br/>
                      cerobong C1 TIDAK SESUAI dengan catatan Baku mutu tidak sesuai dengan peraturan, Baku mutu tidak sesuai dengan sumber emisi, Baku mutu tidak sesuai dengan bahan bakar, Bakumutu tidak sesuai dengan kapasitas, Bakumutu tidak sesuai dengan tahun beroprasi, Sumber emisi tidak sesuai dengan bahan bakar, Nama sumber emisi tidak spesifik
                      <w:br/>
                      <w:br/>
                      HASIL VALIDASI AMBIEN : 
                      <w:br/>
                       1. Pemeriksaan Kesesuaian Titik Penaatan : 
                      <w:br/>
                       -mess karyawan  TIDAK SESUAI Dengan catatan lampiran matriks pemantauan ambien tidak jelas, nama lokasi pemantauan yang diisi tidak sesuai dengan nama lokasi di matriks ambien
                      <w:br/>
                      2. Pemeriksaan Kesesuaian Parameter : 
                      <w:br/>
                       -mess karyawan  TIDAK SESUAI Dengan catatan tidak melampirkan matriks pemantauan ambien
                      <w:br/>
                      3. Pemeriksaan Lampiran Pelaporan : Perusahaan tidak melampirkan hasil pemantauan ambien
                      <w:br/>
                      <w:br/>
                      HASIL VALIDASI KEBISINGAN : 
                      <w:br/>
                       1. Pemeriksaan Kesesuaian Titik Penaatan : 
                      <w:br/>
                       -Mess Karyawan PT. Itamatra Nusantara  TIDAK SESUAI Dengan catatan tidak melampirkan matriks pemantauan kebisingan, matriks pemantauan kebisingan yang dilampirkan tidak terbaca sistem, lampiran matriks pemantauan kebisingan tidak jelas
                      <w:br/>
                      2. Pemeriksaan Kesesuaian Parameter : 
                      <w:br/>
                       -Mess Karyawan PT. Itamatra Nusantara  TIDAK SESUAI Dengan catatan tidak melampirkan matriks pemantauan kebisingan
                      <w:br/>
                      3. Pemeriksaan Lampiran Pelaporan : Perusahaan tidak melampirkan hasil pemantauan kebisingan
                      <w:br/>
                      <w:br/>
                      HASIL VALIDASI KEBAUAN : 
                      <w:br/>
                       1. Pemeriksaan Kesesuaian Titik Penaatan : Perusahaan tidak melakukan pemantauan titik penaatan kebauan
                      <w:br/>
                      2. Pemeriksaan Kesesuaian Parameter : Perusahaan tidak melakukan pemantauan parameter kebauan 
                      <w:br/>
                      3. Pemeriksaan Lampiran Pelaporan : Perusahaan tidak melampirkan hasil pemantauan kebauan
                    </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TIDAK 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-Operator PPU TIDAK TAAT dengan catatan tidak memiliki personil Operator PPU, tidak melampirkan sertifikat kompetensi</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ambien sesuai peraturan
                      <w:br/>
                      <w:br/>
                      PARAMETER PEMANTAUAN 0% 
                      <w:br/>
                      Perusahaan belum melakukan pemantauan ambien:
                      <w:br/>
                      TITIK mess karyawan 
                      <w:br/>
                      Periode SEMESTER 2 Tahun 2022 Parameter so2,sulphat_indeks,dustfall,no2,co
                      <w:br/>
                      Periode SEMESTER 1 Tahun 2023 Parameter so2,sulphat_indeks,dustfall,no2,co
                      <w:br/>
                      <w:br/>
                      PELAPORAN 0% 
                      <w:br/>
                      Perusahaan belum menyampaikan laporan hasil pemantauan ambien:
                      <w:br/>
                       mess karyawan  
                      <w:br/>
                      - SEMESTER 2-2022 (SO2, SULPHAT_INDEKS, DUSTFALL, NO2, CO)
                      <w:br/>
                      - SEMESTER 1-2023 (SO2, SULPHAT_INDEKS, DUSTFALL, NO2, CO)
                    </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kebisingan sesuai peraturan
                      <w:br/>
                      <w:br/>
                      PARAMETER PEMANTAUAN 0% 
                      <w:br/>
                      Perusahaan belum melakukan pemantauan kebisingan:
                      <w:br/>
                      TITIK Mess Karyawan PT. Itamatra Nusantara  parameter Kebisingan
                      <w:br/>
                      <w:br/>
                      PELAPORAN 0% 
                      <w:br/>
                      Perusahaan belum menyampaikan laporan hasil pemantauan kebisingan:
                      <w:br/>
                       Mess Karyawan PT. Itamatra Nusantara  
                      <w:br/>
                      - SEMESTER 2-2022 (KEBISINGAN INDUSTRI)
                      <w:br/>
                      - SEMESTER 1-2023 (KEBISINGAN INDUSTRI)
                    </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tidak taat terhadap ketentuan teknis, kompetensi personil, pemantauan ambien (0%), pemantauan kebisingan (0%), namun taat terhadap titik penaatan, pelaporan, parameter baku mutu, pemenuhan baku mutu, pemantauan kebauan,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 dengan menggunakan jasa laboratorium yang terakreditasi dan teregistrasi.
                <w:br/>
                3. Perusahaan wajib memenuhi baku mutu semua sumber emisi sesuai .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Morowali Utara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TIDAK 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503/002/LB3-DPMPTSPD/VII/2019
                <w:br/>
                Tertanggal 29-07-2019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3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perizinan/ persetujuan lingkungan pengelolaan Limbah B3 dan sudah tidak berlaku</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TIDAK 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503/002/LB3-DPMPTSPDD/VII/2019
                <w:br/>
                Tertanggal 29-07-2019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3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TIDAK 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503/002/LB-3?DPMPTSPD/VII/2019
                <w:br/>
                Tertanggal 29-07-2019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3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izin pihak ketiga PT. Charis Perkasa Amarta sebagai (pengumpul/pemanfaat/pengolah/penimbun) yang sudah tidak berlaku, dan limbah yang dikelola tidak sesuai dengan ketentuan dalam izin berusaha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rekomendasi dan izin pengangkutan pihak ketiga PT. Charis Perkasa Amarta yang sudah tidak berlaku dan tidak sesuai dengan lingkup izin pengangkutan Limbah B3 (jenis limbah B3, nomor polisi, route, kartu pengawasan,)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festronik, Limbah B3 yang sesuai (jenis dan volume Limbah B3) dengan perencanaan pengelolaan Limbah B3 yang keluar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Kontrak Kerjasama antara penghasil dengan Pengumpulan dan Pemanfaatan/Pengolahan Limbah B3 periode Juli 2022 - Juni 2023 dengan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belum melakukan pendataan jenis, volume dan kodeflikasi limbah B3 (neraca)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belum melakukan pelaporan kinerja pengelolaan Limbah B3 dan belum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sudah tidak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Ketentuan teknis belum disertai lampiran data pendukung.</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belum melakukan pengelolaan Limbah B3 (tidak menginput data limbah B3)</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belum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TIDAK 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WAJIB menyusun Rincian Teknis kegiatan Penyimpanan Limbah B3 dan mengintegrasikan kedalam Persetujuan Lingkungan;
          <w:br/>
          2.	Perusahaan WAJIB menyampaikan data pencatatan Limbah B3 (log book dan neraca) yang dihasilkan secara lengkap;
          <w:br/>
          3.	Perusahaan WAJIB menyampaikan bukti pemenuhan ketentuan teknis Pengelolaan Limbah B3 dalam kegiatan Penyimpanan Sementara;
          <w:br/>
          4.	Perusahaan WAJIB menyampaian kegiatan pengelolaan lanjutan Limbah B3 yang dihasilkan sesuai dengan peraturan/ persyaratan dalam izin;
          <w:br/>
          5.	Perusahaan WAJIB menyampaikan bukti kerjasama pengelolaan Limbah B3 ke-pihak ketiga yang telah memiliki izin sesuai dengan ketentuan yang berlaku;
          <w:br/>
          6.	Perusahaan WAJIB melampirkan bukti kepemilikan sertifikat kompetensi di bidang pengelolaan limbah B3;
          <w:br/>
          7.	Perusahaan memprioritaskan upaya 3R (reuse, recycle, recovery) dalam pengelolaan Limbah B3;
          <w:br/>
          8.	Perusahaan WAJIB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p>
      <w:pPr>
        <w:spacing w:line="300" w:lineRule="auto"/>
      </w:pPr>
      <w:r>
        <w:rPr>
          <w:sz w:val="24"/>
          <w:szCs w:val="24"/>
          <w:b/>
          <w:bCs/>
        </w:rPr>
        <w:t xml:space="preserve">V. PENGENDALIAN KERUSAKAN LAHAN - PT. Itamatra Nusantara</w:t>
      </w:r>
    </w:p>
    <w:tbl>
      <w:tblGrid>
        <w:gridCol w:w="500" w:type="dxa"/>
        <w:gridCol w:w="1750" w:type="dxa"/>
        <w:gridCol w:w="1750" w:type="dxa"/>
        <w:gridCol w:w="800" w:type="dxa"/>
        <w:gridCol w:w="1000" w:type="dxa"/>
        <w:gridCol w:w="1000" w:type="dxa"/>
        <w:gridCol w:w="1000" w:type="dxa"/>
        <w:gridCol w:w="2500" w:type="dxa"/>
      </w:tblGrid>
      <w:tblPr>
        <w:tblStyle w:val="Colspan Rowspan"/>
      </w:tblPr>
      <w:tr>
        <w:trPr/>
        <w:tc>
          <w:tcPr>
            <w:tcW w:w="500" w:type="dxa"/>
            <w:vAlign w:val="center"/>
            <w:vMerge w:val="restart"/>
          </w:tcPr>
          <w:p>
            <w:pPr>
              <w:jc w:val="center"/>
            </w:pPr>
            <w:r>
              <w:rPr>
                <w:sz w:val="20"/>
                <w:szCs w:val="20"/>
                <w:b/>
                <w:bCs/>
              </w:rPr>
              <w:t xml:space="preserve">NO</w:t>
            </w:r>
          </w:p>
        </w:tc>
        <w:tc>
          <w:tcPr>
            <w:tcW w:w="1750" w:type="dxa"/>
            <w:vAlign w:val="center"/>
            <w:vMerge w:val="restart"/>
          </w:tcPr>
          <w:p>
            <w:pPr>
              <w:jc w:val="center"/>
            </w:pPr>
            <w:r>
              <w:rPr>
                <w:sz w:val="20"/>
                <w:szCs w:val="20"/>
                <w:b/>
                <w:bCs/>
              </w:rPr>
              <w:t xml:space="preserve">TAHAPAN</w:t>
            </w:r>
          </w:p>
        </w:tc>
        <w:tc>
          <w:tcPr>
            <w:tcW w:w="1750" w:type="dxa"/>
            <w:vAlign w:val="center"/>
            <w:vMerge w:val="restart"/>
          </w:tcPr>
          <w:p>
            <w:pPr>
              <w:jc w:val="center"/>
            </w:pPr>
            <w:r>
              <w:rPr>
                <w:sz w:val="20"/>
                <w:szCs w:val="20"/>
                <w:b/>
                <w:bCs/>
              </w:rPr>
              <w:t xml:space="preserve">LOKASI</w:t>
            </w:r>
          </w:p>
        </w:tc>
        <w:tc>
          <w:tcPr>
            <w:tcW w:w="800" w:type="dxa"/>
            <w:vAlign w:val="center"/>
            <w:vMerge w:val="restart"/>
          </w:tcPr>
          <w:p>
            <w:pPr>
              <w:jc w:val="center"/>
            </w:pPr>
            <w:r>
              <w:rPr>
                <w:sz w:val="20"/>
                <w:szCs w:val="20"/>
                <w:b/>
                <w:bCs/>
              </w:rPr>
              <w:t xml:space="preserve">NILAI TOTAL</w:t>
            </w:r>
          </w:p>
        </w:tc>
        <w:tc>
          <w:tcPr>
            <w:tcW w:w="3000" w:type="dxa"/>
            <w:gridSpan w:val="3"/>
            <w:vMerge w:val="restart"/>
          </w:tcPr>
          <w:p>
            <w:pPr>
              <w:jc w:val="center"/>
              <w:spacing w:before="120" w:after="120"/>
            </w:pPr>
            <w:r>
              <w:rPr>
                <w:sz w:val="20"/>
                <w:szCs w:val="20"/>
                <w:b/>
                <w:bCs/>
              </w:rPr>
              <w:t xml:space="preserve">KRITERIA PENILAI</w:t>
            </w:r>
          </w:p>
        </w:tc>
        <w:tc>
          <w:tcPr>
            <w:tcW w:w="2500" w:type="dxa"/>
            <w:vAlign w:val="center"/>
            <w:vMerge w:val="restart"/>
          </w:tcPr>
          <w:p>
            <w:pPr>
              <w:jc w:val="center"/>
            </w:pPr>
            <w:r>
              <w:rPr>
                <w:sz w:val="20"/>
                <w:szCs w:val="20"/>
                <w:b/>
                <w:bCs/>
              </w:rPr>
              <w:t xml:space="preserve">KETERANGAN</w:t>
            </w:r>
          </w:p>
        </w:tc>
      </w:tr>
      <w:tr>
        <w:trPr/>
        <w:tc>
          <w:tcPr>
            <w:tcW w:w="500" w:type="dxa"/>
            <w:vMerge w:val="continue"/>
          </w:tcPr>
          <w:p/>
        </w:tc>
        <w:tc>
          <w:tcPr>
            <w:tcW w:w="1750" w:type="dxa"/>
            <w:vMerge w:val="continue"/>
          </w:tcPr>
          <w:p/>
        </w:tc>
        <w:tc>
          <w:tcPr>
            <w:tcW w:w="1750" w:type="dxa"/>
            <w:vMerge w:val="continue"/>
          </w:tcPr>
          <w:p/>
        </w:tc>
        <w:tc>
          <w:tcPr>
            <w:tcW w:w="800" w:type="dxa"/>
            <w:vMerge w:val="continue"/>
          </w:tcPr>
          <w:p/>
        </w:tc>
        <w:tc>
          <w:tcPr>
            <w:tcW w:w="3000" w:type="dxa"/>
            <w:gridSpan w:val="3"/>
            <w:vMerge w:val="continue"/>
          </w:tcPr>
          <w:p/>
        </w:tc>
        <w:tc>
          <w:tcPr>
            <w:tcW w:w="2500" w:type="dxa"/>
            <w:vMerge w:val="continue"/>
          </w:tcPr>
          <w:p/>
        </w:tc>
      </w:tr>
      <w:tr>
        <w:trPr/>
        <w:tc>
          <w:tcPr>
            <w:tcW w:w="500" w:type="dxa"/>
            <w:vMerge w:val="continue"/>
          </w:tcPr>
          <w:p/>
        </w:tc>
        <w:tc>
          <w:tcPr>
            <w:tcW w:w="1750" w:type="dxa"/>
            <w:vMerge w:val="continue"/>
          </w:tcPr>
          <w:p/>
        </w:tc>
        <w:tc>
          <w:tcPr>
            <w:tcW w:w="1750" w:type="dxa"/>
            <w:vMerge w:val="continue"/>
          </w:tcPr>
          <w:p/>
        </w:tc>
        <w:tc>
          <w:tcPr>
            <w:tcW w:w="800" w:type="dxa"/>
            <w:vMerge w:val="continue"/>
          </w:tcPr>
          <w:p/>
        </w:tc>
        <w:tc>
          <w:tcPr>
            <w:tcW w:w="1000" w:type="dxa"/>
            <w:vAlign w:val="center"/>
          </w:tcPr>
          <w:p>
            <w:pPr>
              <w:jc w:val="center"/>
              <w:spacing w:before="60"/>
            </w:pPr>
            <w:r>
              <w:rPr>
                <w:sz w:val="12"/>
                <w:szCs w:val="12"/>
                <w:b/>
                <w:bCs/>
              </w:rPr>
              <w:t xml:space="preserve">TIDAK POTENSI RUSAK</w:t>
            </w:r>
          </w:p>
          <w:p>
            <w:pPr>
              <w:jc w:val="center"/>
              <w:spacing w:after="60"/>
            </w:pPr>
            <w:r>
              <w:rPr>
                <w:sz w:val="12"/>
                <w:szCs w:val="12"/>
                <w:b/>
                <w:bCs/>
              </w:rPr>
              <w:t xml:space="preserve">(X &gt;= 80)</w:t>
            </w:r>
          </w:p>
        </w:tc>
        <w:tc>
          <w:tcPr>
            <w:tcW w:w="1000" w:type="dxa"/>
            <w:vAlign w:val="center"/>
          </w:tcPr>
          <w:p>
            <w:pPr>
              <w:jc w:val="center"/>
              <w:spacing w:before="60"/>
            </w:pPr>
            <w:r>
              <w:rPr>
                <w:sz w:val="12"/>
                <w:szCs w:val="12"/>
                <w:b/>
                <w:bCs/>
              </w:rPr>
              <w:t xml:space="preserve">POTENSI RUSAK RINGAN</w:t>
            </w:r>
          </w:p>
          <w:p>
            <w:pPr>
              <w:jc w:val="center"/>
              <w:spacing w:after="60"/>
            </w:pPr>
            <w:r>
              <w:rPr>
                <w:sz w:val="12"/>
                <w:szCs w:val="12"/>
                <w:b/>
                <w:bCs/>
              </w:rPr>
              <w:t xml:space="preserve">(50 &lt;= X &lt; 80)</w:t>
            </w:r>
          </w:p>
        </w:tc>
        <w:tc>
          <w:tcPr>
            <w:tcW w:w="1000" w:type="dxa"/>
            <w:vAlign w:val="center"/>
          </w:tcPr>
          <w:p>
            <w:pPr>
              <w:jc w:val="center"/>
              <w:spacing w:before="60"/>
            </w:pPr>
            <w:r>
              <w:rPr>
                <w:sz w:val="12"/>
                <w:szCs w:val="12"/>
                <w:b/>
                <w:bCs/>
              </w:rPr>
              <w:t xml:space="preserve">POTENSI RUSAK BERAT</w:t>
            </w:r>
          </w:p>
          <w:p>
            <w:pPr>
              <w:jc w:val="center"/>
              <w:spacing w:after="60"/>
            </w:pPr>
            <w:r>
              <w:rPr>
                <w:sz w:val="12"/>
                <w:szCs w:val="12"/>
                <w:b/>
                <w:bCs/>
              </w:rPr>
              <w:t xml:space="preserve">(X &lt; 55)</w:t>
            </w:r>
          </w:p>
        </w:tc>
        <w:tc>
          <w:tcPr>
            <w:tcW w:w="2500" w:type="dxa"/>
            <w:vMerge w:val="continue"/>
          </w:tcPr>
          <w:p/>
        </w:tc>
      </w:tr>
      <w:tr>
        <w:trPr/>
        <w:tc>
          <w:tcPr>
            <w:tcW w:w="4000" w:type="dxa"/>
            <w:vAlign w:val="center"/>
            <w:gridSpan w:val="3"/>
          </w:tcPr>
          <w:p>
            <w:pPr>
              <w:jc w:val="center"/>
            </w:pPr>
            <w:r>
              <w:rPr>
                <w:sz w:val="20"/>
                <w:szCs w:val="20"/>
                <w:b/>
                <w:bCs/>
              </w:rPr>
              <w:t xml:space="preserve">JUMLAH DATA</w:t>
            </w:r>
          </w:p>
        </w:tc>
        <w:tc>
          <w:tcPr>
            <w:tcW w:w="1000" w:type="dxa"/>
            <w:vAlign w:val="center"/>
          </w:tcPr>
          <w:p>
            <w:pPr>
              <w:jc w:val="center"/>
              <w:spacing w:before="60" w:after="60"/>
            </w:pPr>
            <w:r>
              <w:rPr>
                <w:sz w:val="20"/>
                <w:szCs w:val="20"/>
                <w:b/>
                <w:bCs/>
              </w:rPr>
              <w:t xml:space="preserve">0</w:t>
            </w:r>
          </w:p>
        </w:tc>
        <w:tc>
          <w:tcPr>
            <w:tcW w:w="1000" w:type="dxa"/>
            <w:vAlign w:val="center"/>
          </w:tcPr>
          <w:p>
            <w:pPr>
              <w:jc w:val="center"/>
              <w:spacing w:before="60" w:after="60"/>
            </w:pPr>
            <w:r>
              <w:rPr>
                <w:sz w:val="20"/>
                <w:szCs w:val="20"/>
                <w:b/>
                <w:bCs/>
              </w:rPr>
              <w:t xml:space="preserve">0</w:t>
            </w:r>
          </w:p>
        </w:tc>
        <w:tc>
          <w:tcPr>
            <w:tcW w:w="1000" w:type="dxa"/>
            <w:vAlign w:val="center"/>
          </w:tcPr>
          <w:p>
            <w:pPr>
              <w:jc w:val="center"/>
              <w:spacing w:before="60" w:after="60"/>
            </w:pPr>
            <w:r>
              <w:rPr>
                <w:sz w:val="20"/>
                <w:szCs w:val="20"/>
                <w:b/>
                <w:bCs/>
              </w:rPr>
              <w:t xml:space="preserve">0</w:t>
            </w:r>
          </w:p>
        </w:tc>
        <w:tc>
          <w:tcPr>
            <w:tcW w:w="1000" w:type="dxa"/>
            <w:vAlign w:val="center"/>
          </w:tcPr>
          <w:p>
            <w:pPr>
              <w:jc w:val="center"/>
              <w:spacing w:before="60" w:after="60"/>
            </w:pPr>
            <w:r>
              <w:rPr>
                <w:sz w:val="20"/>
                <w:szCs w:val="20"/>
                <w:b/>
                <w:bCs/>
              </w:rPr>
              <w:t xml:space="preserve">0</w:t>
            </w:r>
          </w:p>
        </w:tc>
        <w:tc>
          <w:tcPr>
            <w:tcW w:w="2500" w:type="dxa"/>
            <w:vAlign w:val="center"/>
          </w:tcPr>
          <w:p>
            <w:pPr>
              <w:jc w:val="center"/>
              <w:spacing w:before="60" w:after="60"/>
            </w:pPr>
            <w:r>
              <w:rPr>
                <w:sz w:val="20"/>
                <w:szCs w:val="20"/>
                <w:b/>
                <w:bCs/>
              </w:rPr>
              <w:t xml:space="preserve">TAAT</w:t>
            </w:r>
          </w:p>
        </w:tc>
      </w:tr>
    </w:tbl>
    <w:p/>
    <w:p/>
    <w:p>
      <w:pPr/>
      <w:r>
        <w:rPr>
          <w:b/>
          <w:bCs/>
        </w:rPr>
        <w:t xml:space="preserve">A. Ringkasan Penaatan Pengendalian Kerusakan Lahan</w:t>
      </w:r>
    </w:p>
    <w:p>
      <w:pPr/>
      <w:r>
        <w:rPr/>
        <w:t xml:space="preserve">1. Tidak menyampaikan kinerja pengendalian kerusakan lahan pada periode proper 2022-2023.</w:t>
      </w:r>
    </w:p>
    <w:p>
      <w:pPr/>
      <w:r>
        <w:rPr/>
        <w:t xml:space="preserve">2. Data yang disampaikan data tahun 2018-2019</w:t>
      </w:r>
    </w:p>
    <w:p/>
    <w:p/>
    <w:p>
      <w:pPr/>
      <w:r>
        <w:rPr>
          <w:b/>
          <w:bCs/>
        </w:rPr>
        <w:t xml:space="preserve">B. Tindak Lanjut yang Harus Dilakukan</w:t>
      </w:r>
    </w:p>
    <w:p>
      <w:pPr/>
      <w:r>
        <w:rPr/>
        <w:t xml:space="preserve"> </w:t>
      </w:r>
    </w:p>
    <w:p>
      <w:pPr>
        <w:pPr/>
        <w:numPr>
          <w:ilvl w:val="0"/>
          <w:numId w:val="3"/>
        </w:numPr>
      </w:pPr>
      <w:r>
        <w:rPr/>
        <w:t xml:space="preserve">K1 (Kesesuaian Kondisi yang Direncanakan)</w:t>
      </w:r>
    </w:p>
    <w:p>
      <w:pPr/>
      <w:r>
        <w:rPr/>
        <w:t xml:space="preserve"> </w:t>
      </w:r>
    </w:p>
    <w:p>
      <w:pPr>
        <w:pPr/>
        <w:numPr>
          <w:ilvl w:val="0"/>
          <w:numId w:val="4"/>
        </w:numPr>
      </w:pPr>
      <w:r>
        <w:rPr/>
        <w:t xml:space="preserve">Wajib Melakukan </w:t>
      </w:r>
      <w:r>
        <w:rPr>
          <w:i/>
          <w:iCs/>
        </w:rPr>
        <w:t xml:space="preserve">mine planning </w:t>
      </w:r>
      <w:r>
        <w:rPr/>
        <w:t xml:space="preserve">secara baik sehingga realisasi yang dihasilkan tidak terlalu berbeda dengan rencana.</w:t>
      </w:r>
    </w:p>
    <w:p>
      <w:pPr/>
      <w:r>
        <w:rPr/>
        <w:t xml:space="preserve"> </w:t>
      </w:r>
    </w:p>
    <w:p>
      <w:pPr>
        <w:pPr/>
        <w:numPr>
          <w:ilvl w:val="0"/>
          <w:numId w:val="5"/>
        </w:numPr>
      </w:pPr>
      <w:r>
        <w:rPr/>
        <w:t xml:space="preserve">K2 (Kesinambungan Tahapan)</w:t>
      </w:r>
    </w:p>
    <w:p>
      <w:pPr/>
      <w:r>
        <w:rPr/>
        <w:t xml:space="preserve"> </w:t>
      </w:r>
    </w:p>
    <w:p>
      <w:pPr>
        <w:pPr/>
        <w:numPr>
          <w:ilvl w:val="0"/>
          <w:numId w:val="6"/>
        </w:numPr>
      </w:pPr>
      <w:r>
        <w:rPr/>
        <w:t xml:space="preserve">Wajib Melakukan seluruh tahapan kegiatan penambangan secara berkesinambungan sehingga tidak ada area yang ditinggalkan, misalnya jika proses penimbunan telah mencapai elevasi final yang ditentukan segera dilanjutkan dengan kegiatan reklamasi dan revegetasi.</w:t>
      </w:r>
    </w:p>
    <w:p>
      <w:pPr/>
      <w:r>
        <w:rPr/>
        <w:t xml:space="preserve"> </w:t>
      </w:r>
    </w:p>
    <w:p>
      <w:pPr>
        <w:pPr/>
        <w:numPr>
          <w:ilvl w:val="0"/>
          <w:numId w:val="7"/>
        </w:numPr>
      </w:pPr>
      <w:r>
        <w:rPr/>
        <w:t xml:space="preserve">K3 (Stabilitas Geoteknik)</w:t>
      </w:r>
    </w:p>
    <w:p>
      <w:pPr/>
      <w:r>
        <w:rPr/>
        <w:t xml:space="preserve"> </w:t>
      </w:r>
    </w:p>
    <w:p>
      <w:pPr>
        <w:pPr/>
        <w:numPr>
          <w:ilvl w:val="0"/>
          <w:numId w:val="8"/>
        </w:numPr>
      </w:pPr>
      <w:r>
        <w:rPr/>
        <w:t xml:space="preserve">Wajib Melakukan monitoring secara berkelanjutan dan segera melakukan perbaikan jika ada lereng yang berada pada level bahaya.</w:t>
      </w:r>
    </w:p>
    <w:p>
      <w:pPr/>
      <w:r>
        <w:rPr/>
        <w:t xml:space="preserve"> </w:t>
      </w:r>
    </w:p>
    <w:p>
      <w:pPr>
        <w:pPr/>
        <w:numPr>
          <w:ilvl w:val="0"/>
          <w:numId w:val="9"/>
        </w:numPr>
      </w:pPr>
      <w:r>
        <w:rPr/>
        <w:t xml:space="preserve">K4 (Identifikasi Batuan Berpotensi Asam)</w:t>
      </w:r>
    </w:p>
    <w:p>
      <w:pPr/>
      <w:r>
        <w:rPr/>
        <w:t xml:space="preserve"> </w:t>
      </w:r>
    </w:p>
    <w:p>
      <w:pPr>
        <w:pPr/>
        <w:numPr>
          <w:ilvl w:val="0"/>
          <w:numId w:val="10"/>
        </w:numPr>
      </w:pPr>
      <w:r>
        <w:rPr/>
        <w:t xml:space="preserve">Wajib Selalu memastikan bahwa timbunan final sudah tidak mengandung potensi air asam tambang sehingga potensi pencemaran dapat diminimalisir dan vegetasi dapat tumbuh secara optimal.</w:t>
      </w:r>
    </w:p>
    <w:p>
      <w:pPr/>
      <w:r>
        <w:rPr/>
        <w:t xml:space="preserve"> </w:t>
      </w:r>
    </w:p>
    <w:p>
      <w:pPr>
        <w:pPr/>
        <w:numPr>
          <w:ilvl w:val="0"/>
          <w:numId w:val="11"/>
        </w:numPr>
      </w:pPr>
      <w:r>
        <w:rPr/>
        <w:t xml:space="preserve">K5 (Erosi)</w:t>
      </w:r>
    </w:p>
    <w:p>
      <w:pPr/>
      <w:r>
        <w:rPr/>
        <w:t xml:space="preserve"> </w:t>
      </w:r>
    </w:p>
    <w:p>
      <w:pPr>
        <w:pPr/>
        <w:numPr>
          <w:ilvl w:val="0"/>
          <w:numId w:val="12"/>
        </w:numPr>
      </w:pPr>
      <w:r>
        <w:rPr/>
        <w:t xml:space="preserve">Wajib Segera melakukan pengendalian erosi dengan penanaman cover crop dan revegetasi pada area yang telah dilakukan reklamasi.</w:t>
      </w:r>
    </w:p>
    <w:p>
      <w:pPr/>
      <w:r>
        <w:rPr/>
        <w:t xml:space="preserve"> </w:t>
      </w:r>
    </w:p>
    <w:p>
      <w:pPr>
        <w:pPr/>
        <w:numPr>
          <w:ilvl w:val="0"/>
          <w:numId w:val="13"/>
        </w:numPr>
      </w:pPr>
      <w:r>
        <w:rPr/>
        <w:t xml:space="preserve">K6 (Kebencanaan)</w:t>
      </w:r>
    </w:p>
    <w:p>
      <w:pPr/>
      <w:r>
        <w:rPr/>
        <w:t xml:space="preserve"> </w:t>
      </w:r>
    </w:p>
    <w:p>
      <w:pPr>
        <w:pPr/>
        <w:numPr>
          <w:ilvl w:val="0"/>
          <w:numId w:val="14"/>
        </w:numPr>
      </w:pPr>
      <w:r>
        <w:rPr/>
        <w:t xml:space="preserve">Wajib Melakukan upaya preventif agar dapat meminimalisir potensi bencana yang mungkin terjadi.</w:t>
      </w:r>
    </w:p>
    <w:p>
      <w:pPr/>
      <w:r>
        <w:rPr/>
        <w:t xml:space="preserve"> </w:t>
      </w:r>
    </w:p>
    <w:p>
      <w:pPr>
        <w:pPr/>
        <w:numPr>
          <w:ilvl w:val="0"/>
          <w:numId w:val="15"/>
        </w:numPr>
      </w:pPr>
      <w:r>
        <w:rPr/>
        <w:t xml:space="preserve">Wajib Menyampaikan </w:t>
      </w:r>
      <w:r>
        <w:rPr>
          <w:i/>
          <w:iCs/>
        </w:rPr>
        <w:t xml:space="preserve">raw data </w:t>
      </w:r>
      <w:r>
        <w:rPr/>
        <w:t xml:space="preserve">peta situasi terakhir yang setidaknya memuat </w:t>
      </w:r>
      <w:r>
        <w:rPr>
          <w:i/>
          <w:iCs/>
        </w:rPr>
        <w:t xml:space="preserve">layer </w:t>
      </w:r>
      <w:r>
        <w:rPr/>
        <w:t xml:space="preserve">garis kontur, tahapan kegiatan, dan lahan terganggu</w:t>
      </w:r>
      <w:r>
        <w:rPr>
          <w:i/>
          <w:iCs/>
        </w:rPr>
        <w:t xml:space="preserve"> </w:t>
      </w:r>
      <w:r>
        <w:rPr/>
        <w:t xml:space="preserve">(</w:t>
      </w:r>
      <w:r>
        <w:rPr>
          <w:i/>
          <w:iCs/>
        </w:rPr>
        <w:t xml:space="preserve">land disturbed</w:t>
      </w:r>
      <w:r>
        <w:rPr/>
        <w:t xml:space="preserve">) dalam format </w:t>
      </w:r>
      <w:r>
        <w:rPr>
          <w:i/>
          <w:iCs/>
        </w:rPr>
        <w:t xml:space="preserve">shapefile (.shp).</w:t>
      </w:r>
    </w:p>
    <w:p>
      <w:pPr/>
      <w:r>
        <w:rPr/>
        <w:t xml:space="preserve"> </w:t>
      </w:r>
    </w:p>
    <w:p>
      <w:pPr>
        <w:pPr/>
        <w:numPr>
          <w:ilvl w:val="0"/>
          <w:numId w:val="15"/>
        </w:numPr>
      </w:pPr>
      <w:r>
        <w:rPr/>
        <w:t xml:space="preserve">Wajib Menyampaikan </w:t>
      </w:r>
      <w:r>
        <w:rPr>
          <w:i/>
          <w:iCs/>
        </w:rPr>
        <w:t xml:space="preserve">updating</w:t>
      </w:r>
      <w:r>
        <w:rPr>
          <w:i/>
          <w:iCs/>
          <w:u w:val="single"/>
        </w:rPr>
        <w:t xml:space="preserve"> </w:t>
      </w:r>
      <w:r>
        <w:rPr/>
        <w:t xml:space="preserve">data kegiatan yang dilakukan pada TW III, TW IV Tahun 2022 dan TW I, TW II tahun 2023</w:t>
      </w:r>
    </w:p>
    <w:sectPr>
      <w:footerReference w:type="default" r:id="rId7"/>
      <w:pgSz w:orient="portrait" w:w="11905.511811024" w:h="16837.795275591"/>
      <w:pgMar w:top="1440" w:right="720" w:bottom="1440" w:left="720" w:header="720" w:footer="720" w:gutter="0"/>
      <w:cols w:num="1"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68E0" w14:textId="77777777" w:rsidR="00BC661E" w:rsidRDefault="00BC661E">
      <w:r>
        <w:separator/>
      </w:r>
    </w:p>
  </w:endnote>
  <w:endnote w:type="continuationSeparator" w:id="0">
    <w:p w14:paraId="0A7B5234" w14:textId="77777777" w:rsidR="00BC661E" w:rsidRDefault="00BC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112C" w14:textId="77777777" w:rsidR="00BC661E" w:rsidRDefault="00BC661E">
      <w:r>
        <w:separator/>
      </w:r>
    </w:p>
  </w:footnote>
  <w:footnote w:type="continuationSeparator" w:id="0">
    <w:p w14:paraId="374EEF36" w14:textId="77777777" w:rsidR="00BC661E" w:rsidRDefault="00BC661E">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158</cp:revision>
  <cp:lastPrinted>2017-09-08T09:45:00Z</cp:lastPrinted>
  <dcterms:created xsi:type="dcterms:W3CDTF">2021-08-19T02:07:00Z</dcterms:created>
  <dcterms:modified xsi:type="dcterms:W3CDTF">2023-09-07T10:21:00Z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